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wavy_blue_background" focussize="0,0" recolor="t" r:id="rId4"/>
    </v:background>
  </w:background>
  <w:body>
    <w:p>
      <w:pPr>
        <w:spacing w:beforeLines="0" w:afterLines="0"/>
        <w:jc w:val="center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Управление образования</w:t>
      </w:r>
    </w:p>
    <w:p>
      <w:pPr>
        <w:spacing w:beforeLines="0" w:afterLines="0"/>
        <w:jc w:val="center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Администрации Неклиновского района</w:t>
      </w: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24"/>
          <w:lang w:val="ru-RU"/>
        </w:rPr>
      </w:pPr>
    </w:p>
    <w:p>
      <w:pPr>
        <w:spacing w:beforeLines="0" w:afterLines="0"/>
        <w:jc w:val="center"/>
        <w:rPr>
          <w:rFonts w:hint="default"/>
          <w:sz w:val="72"/>
          <w:lang w:val="ru-RU"/>
        </w:rPr>
      </w:pPr>
    </w:p>
    <w:p>
      <w:pPr>
        <w:spacing w:beforeLines="0" w:afterLines="0"/>
        <w:jc w:val="center"/>
        <w:rPr>
          <w:rFonts w:hint="default"/>
          <w:sz w:val="72"/>
          <w:lang w:val="ru-RU"/>
        </w:rPr>
      </w:pPr>
      <w:r>
        <w:rPr>
          <w:rFonts w:hint="default"/>
          <w:sz w:val="72"/>
          <w:lang w:val="ru-RU"/>
        </w:rPr>
        <w:t>Финансовый Менеджмент 2016г.</w:t>
      </w:r>
    </w:p>
    <w:p>
      <w:pPr>
        <w:spacing w:beforeLines="0" w:afterLines="0"/>
        <w:jc w:val="center"/>
        <w:rPr>
          <w:rFonts w:hint="default"/>
          <w:sz w:val="72"/>
          <w:lang w:val="ru-RU"/>
        </w:rPr>
      </w:pPr>
    </w:p>
    <w:p>
      <w:pPr>
        <w:spacing w:beforeLines="0" w:afterLines="0"/>
        <w:jc w:val="center"/>
        <w:rPr>
          <w:rFonts w:hint="default"/>
          <w:sz w:val="72"/>
          <w:lang w:val="ru-RU"/>
        </w:rPr>
      </w:pPr>
    </w:p>
    <w:p>
      <w:pPr>
        <w:spacing w:beforeLines="0" w:afterLines="0"/>
        <w:rPr>
          <w:rFonts w:hint="default"/>
          <w:sz w:val="72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с. Покровское 2017г.</w:t>
      </w: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РЕЗУЛЬТАТЫ</w:t>
      </w:r>
    </w:p>
    <w:p>
      <w:pPr>
        <w:spacing w:beforeLines="0" w:afterLines="0"/>
        <w:jc w:val="center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анализа качества финансового менеджмента образовательных учреждений (ОУ) </w:t>
      </w: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tbl>
      <w:tblPr>
        <w:tblStyle w:val="4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1476"/>
        <w:gridCol w:w="847"/>
        <w:gridCol w:w="629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№ п/п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Наименование направлений и показателей оценки</w:t>
            </w:r>
          </w:p>
        </w:tc>
        <w:tc>
          <w:tcPr>
            <w:tcW w:w="1476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Средняя оценка по показателю (SP)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ОУ, получившие неудовлетвори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тельную оценку по показателю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ОУ, получившие оценку по пока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зателю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ОУ, к которым показатель не применим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 Качество бюджетного планирования</w:t>
            </w:r>
          </w:p>
        </w:tc>
        <w:tc>
          <w:tcPr>
            <w:tcW w:w="7380" w:type="dxa"/>
            <w:gridSpan w:val="6"/>
            <w:shd w:val="clear" w:color="auto" w:fill="auto"/>
            <w:textDirection w:val="lrTb"/>
            <w:vAlign w:val="bottom"/>
          </w:tcPr>
          <w:p>
            <w:pPr>
              <w:widowControl w:val="0"/>
              <w:jc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Своевременность представления прогнозного плана фи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нансово-хозяйственной деятельности, проекта бюджет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ной сметы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0,0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Р2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Своевременность представления плана финансово-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хозяйственной деятельности, бюджетной сметы на ут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верждение ГРБС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Р3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Удельный вес перемещений бюджетных ассигнований, утвержденных по ПФХД, бюджетной смете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Р4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Соответствие предельного объема бюджетных ассигно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ваний, предусмотренных на оплату муниципальных кон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трактов в текущем финансовом году, бюджетным ассиг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нованиям, предусмотренным в утвержденном ПФХД, бюджетной смете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0,3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Style w:val="5"/>
                <w:rFonts w:eastAsia="SimSun"/>
                <w:color w:val="auto"/>
                <w:lang w:val="en-US" w:eastAsia="zh-CN" w:bidi="ar"/>
              </w:rPr>
              <w:t xml:space="preserve">2. </w:t>
            </w:r>
            <w:r>
              <w:rPr>
                <w:rStyle w:val="6"/>
                <w:rFonts w:eastAsia="SimSun"/>
                <w:color w:val="auto"/>
                <w:lang w:val="en-US" w:eastAsia="zh-CN" w:bidi="ar"/>
              </w:rPr>
              <w:t>Качество и результативность исполнения плана финансово-хозяйственной деятельности (бюджетной сметы)</w:t>
            </w:r>
          </w:p>
        </w:tc>
        <w:tc>
          <w:tcPr>
            <w:tcW w:w="7380" w:type="dxa"/>
            <w:gridSpan w:val="6"/>
            <w:shd w:val="clear" w:color="auto" w:fill="auto"/>
            <w:textDirection w:val="lrTb"/>
            <w:vAlign w:val="bottom"/>
          </w:tcPr>
          <w:p>
            <w:pPr>
              <w:widowControl w:val="0"/>
              <w:jc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Р5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Доля неиспользованных на конец отчетного финансово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го года бюджетных ассигнований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Р6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Доля кассовых расходов без учета расходов за счет суб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венций и субсидий из бюджетов других уровней, произ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веденных в 4 квартале отчетного года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Р7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Уровень доходов от предпринимательской и иной при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носящей доход деятельности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0,1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Р8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Освоение бюджетных средств, полученных из федерального и областного бюджета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0,0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 Оценка управления обязательствами в процессе исполнения местного бюджета</w:t>
            </w:r>
          </w:p>
        </w:tc>
        <w:tc>
          <w:tcPr>
            <w:tcW w:w="5057" w:type="dxa"/>
            <w:gridSpan w:val="4"/>
            <w:shd w:val="clear" w:color="auto" w:fill="auto"/>
            <w:textDirection w:val="lrTb"/>
            <w:vAlign w:val="top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Р9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Объем нереальной к взысканию дебиторской задолжен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ности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Р10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Динамика дебиторской задолженности в отчетном пе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риоде по сравнению с началом финансового года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Р11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Доля просроченной кредиторской задолженности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 Качество оказания муниципальных услуг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Р12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Выполнение показателей качества, предусмотренных в му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ниципальном задании на оказание муниципальных услуг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Р13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Выполнение показателей объема, предусмотренных в му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ниципальном задании на оказание муниципальных услуг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Р14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Своевременность и качество предоставления отчетности о выполнении муниципального задания (далее - МЗ) на ока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зание муниципальных услуг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0,0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 Качество бюджетного учета и отчетности</w:t>
            </w:r>
          </w:p>
        </w:tc>
        <w:tc>
          <w:tcPr>
            <w:tcW w:w="7380" w:type="dxa"/>
            <w:gridSpan w:val="6"/>
            <w:shd w:val="clear" w:color="auto" w:fill="auto"/>
            <w:textDirection w:val="lrTb"/>
            <w:vAlign w:val="bottom"/>
          </w:tcPr>
          <w:p>
            <w:pPr>
              <w:widowControl w:val="0"/>
              <w:jc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Р15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Соблюдение сроков предоставления бюджетной отчетно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сти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0,0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Р16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Качество составления бюджетной отчетности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0,0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 Результаты финансового контроля</w:t>
            </w:r>
          </w:p>
        </w:tc>
        <w:tc>
          <w:tcPr>
            <w:tcW w:w="7380" w:type="dxa"/>
            <w:gridSpan w:val="6"/>
            <w:shd w:val="clear" w:color="auto" w:fill="auto"/>
            <w:textDirection w:val="lrTb"/>
            <w:vAlign w:val="bottom"/>
          </w:tcPr>
          <w:p>
            <w:pPr>
              <w:widowControl w:val="0"/>
              <w:jc w:val="center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Р17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Уровень финансовых нарушений по итогам ревизий и те</w:t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матических проверок в отчетном году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Р18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Динамика уровня финансовых нарушений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Р19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Наличие локального акта в учреждении об организации внутреннего финансового контроля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0,3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 Открытость информации об учреждении</w:t>
            </w:r>
          </w:p>
        </w:tc>
        <w:tc>
          <w:tcPr>
            <w:tcW w:w="629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  <w:shd w:val="clear" w:color="auto" w:fill="auto"/>
            <w:textDirection w:val="lrTb"/>
            <w:vAlign w:val="bottom"/>
          </w:tcPr>
          <w:p>
            <w:pPr>
              <w:widowControl w:val="0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Р20</w:t>
            </w:r>
          </w:p>
        </w:tc>
        <w:tc>
          <w:tcPr>
            <w:tcW w:w="2323" w:type="dxa"/>
            <w:gridSpan w:val="2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Style w:val="5"/>
                <w:rFonts w:eastAsia="SimSun"/>
                <w:color w:val="auto"/>
                <w:lang w:val="en-US" w:eastAsia="zh-CN" w:bidi="ar"/>
              </w:rPr>
              <w:t>Полнота размещения плановой и отчетной информации о финансово-хозяйственной деятельности на официальном сайте в сети «Интернет» «Г осударственные и муниципаль</w:t>
            </w:r>
            <w:r>
              <w:rPr>
                <w:rStyle w:val="5"/>
                <w:rFonts w:eastAsia="SimSun"/>
                <w:color w:val="auto"/>
                <w:lang w:val="en-US" w:eastAsia="zh-CN" w:bidi="ar"/>
              </w:rPr>
              <w:softHyphen/>
            </w:r>
            <w:r>
              <w:rPr>
                <w:rStyle w:val="5"/>
                <w:rFonts w:eastAsia="SimSun"/>
                <w:color w:val="auto"/>
                <w:lang w:val="en-US" w:eastAsia="zh-CN" w:bidi="ar"/>
              </w:rPr>
              <w:t>ные учреждени</w:t>
            </w:r>
            <w:r>
              <w:rPr>
                <w:rStyle w:val="7"/>
                <w:rFonts w:eastAsia="SimSun"/>
                <w:color w:val="auto"/>
                <w:lang w:val="en-US" w:eastAsia="zh-CN" w:bidi="ar"/>
              </w:rPr>
              <w:t>я» bus.gov.ru</w:t>
            </w:r>
          </w:p>
        </w:tc>
        <w:tc>
          <w:tcPr>
            <w:tcW w:w="62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 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6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color w:val="auto"/>
                <w:sz w:val="28"/>
                <w:vertAlign w:val="baseline"/>
                <w:lang w:val="ru-RU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8"/>
                <w:vertAlign w:val="baseline"/>
                <w:lang w:val="ru-RU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8"/>
                <w:vertAlign w:val="baseline"/>
                <w:lang w:val="ru-RU"/>
              </w:rPr>
            </w:pPr>
          </w:p>
        </w:tc>
        <w:tc>
          <w:tcPr>
            <w:tcW w:w="629" w:type="dxa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8"/>
                <w:vertAlign w:val="baseline"/>
                <w:lang w:val="ru-RU"/>
              </w:rPr>
            </w:pPr>
          </w:p>
        </w:tc>
        <w:tc>
          <w:tcPr>
            <w:tcW w:w="1476" w:type="dxa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8"/>
                <w:vertAlign w:val="baseline"/>
                <w:lang w:val="ru-RU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tbl>
      <w:tblPr>
        <w:tblStyle w:val="3"/>
        <w:tblW w:w="10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"/>
        <w:gridCol w:w="1865"/>
        <w:gridCol w:w="2886"/>
        <w:gridCol w:w="1273"/>
        <w:gridCol w:w="1408"/>
        <w:gridCol w:w="855"/>
        <w:gridCol w:w="1212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0739" w:type="dxa"/>
            <w:gridSpan w:val="8"/>
            <w:shd w:val="clear" w:color="auto" w:fill="auto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РЕЗУЛЬТАТЫ</w:t>
            </w:r>
          </w:p>
          <w:p>
            <w:pPr>
              <w:spacing w:beforeLines="0" w:afterLines="0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анализа качества финансового менеджмента в разрезе образовательных учреждений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ИНН бюджетополучателя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Бюджетополучатель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ИТОГО (КФМ)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Максимальная оценка качества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Процент качества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Рейтинговая оценка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Групповой рейтинг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6123014269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МБУ "РАСЧЕТНЫЙ ЦЕНТР"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66,3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6123022710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ДО СЮТ НЕКЛИНОВСКОГО РАЙОНА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6123010514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ПРИЮТИНСКИЙ ДЕТСКИЙ САД "РОМАШКА 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60,0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6123010200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СУХО - САРМАТСКАЯ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60,0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6123010169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В - ХАНЖОНОВСКАЯ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6123014597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ВАРЕНОВСКАЯ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6123010257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НЕКЛИНОВСКАЯ ВЕЧЕРНЯЯ ШКОЛА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6123012423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МБУО "РИЦ"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6123010850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МБУ ЦППМ И СП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6123012896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"РАДУГА" С. ТРОИЦКОЕ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6123010144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НОВО-ЛАКЕДЕМОНОВСКАЯ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6123010232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ОТРАДНЕНСКАЯ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6123010296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ПОКРОВСКАЯ СРЕДНЯЯ ШКОЛА № 3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6123008988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"ПРИМОРСКАЯ СРЕДНЯЯ ОБЩЕОБРАЗОВАТЕЛЬНАЯ ШКОЛА"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6123010190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ПРИЮТИНСКАЯ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6123010634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"СКАЗКА" С. ДОЛОКОВКА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6123010289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ГАЕВСКАЯ ООШ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6123010271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НЕКРАСОВСКАЯ ООШ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6123014646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НОСОВСКАЯ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6123010151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ТРОИЦКАЯ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6123011719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"СОЛНЫШКО" С.НОСОВО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6123010183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ЕФРЕМОВСКАЯ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6123009082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ПОКРОВСКАЯ СОШ "НОК"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6123007247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ДО ЦВР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6123010056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СИНЯВСКАЯ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6123014653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КРАСНОДЕСАНТСКАЯ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52,6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6123014639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НАТАЛЬЕВСКАЯ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52,6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6123008145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САМБЕКСКАЯ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52,6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6123010641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"ЧЕБУРАШКА" С. СИНЯВСКОЕ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51,6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6123010017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Б-НЕКЛИНОВСКАЯ СШ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51,6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6123010585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"ЛАСТОЧКА" Х.НИКОЛАЕВО-КОЗЛОВСКИЙ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6123015287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"МАЛЬВИНА" С. САМБЕК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6123014607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НОВОБЕССЕРГЕНОВСКАЯ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6123010240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ПСШ №2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6123010176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ФЕДОРОВСКАЯ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6123009212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ДО ДЮСШ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6123010507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"АЛЕНУШКА" С. ПОКРОВСКОЕ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6123010521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"КОЛОСОК" С. ПОКРОВСКОЕ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6123012494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"ЧУНГА-ЧАНГА" С.ИВАНОВКА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6123010095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НОВОПРИМОРСКАЯ ООШ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49,5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6123011726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"СКАЗКА" Х.ТАВРИЧЕСКИЙ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6123015350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ДЕТСКИЙ САД "СОЛНЫШКО" С. НОВОБЕССЕРГЕНЕВКА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6123014660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БЕГЛИЦКАЯ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6123010497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"АЛЁНУШКА" С.ФЁДОРОВКА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6123023633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"УЛЫБКА" С.НИКОЛАЕВКА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6123014685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МАРЬЕВСКАЯ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6123010225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НИКОЛАЕВСКАЯ СРЕДНЯЯ ШКОЛА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6123014621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НИКОЛЬСКАЯ ООШ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6123010137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СОВЕТИНСКАЯ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6123010560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"СОЛНЫШКО" С. ПРИМОРКА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46,3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6123014614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ЛАКЕДЕМОНОВСКАЯ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46,3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6123016026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"ЗОЛОТОЙ ПЕТУШОК" ПОС. ПРИАЗОВСКИЙ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45,3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6123012046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"СВЕТЛЯЧОК" ПОС.  НОВОПРИМОРСКИЙ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45,3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6123023175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ЛАКЕДЕМОНОВСКИЙ ДЕТСКИЙ САД "ИВУШКА"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45,3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6123010602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"СВЕТЛЯЧОК" С. А-КОСА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6123010546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"ТЕРЕМОК" С. ПОКРОВСКОЕ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6123012039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"СКАЗКА" С.АНДРЕЕВО-МЕЛЕНТЬЕВО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6123010539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"СОЛНЫШКО" С. В-ВОЗНЕСЕНКА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6123012134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"ТЕРЕМОК" Х. РУССКИЙ КОЛОДЕЦ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6123014011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В-ВОЗНЕСЕНСКАЯ СОШ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43,2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6123011941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"ТЕРЕМОК" С.ЕФРЕМОВКА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41,1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6123010610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"МАЛЬВИНКА" С. НАТАЛЬЕВКА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40,0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6123023168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ПЕТРУШИНСКИЙ ДЕТСКИЙ САД "ЗОЛОТАЯ РЫБКА"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40,0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6123010592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"ДЮЙМОВОЧКА" С.Б-НЕКЛИНОВКА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6123010578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"ВАСИЛЁК" С. ПОКРОВСКОЕ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37,9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6123010627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"ИВУШКА" С. В-ХАНЖОНОВКА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36,8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6123013280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"КРАСНАЯ ШАПОЧКА" С. ВАРЕНОВКА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33,7 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6123023658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"ЖЕМЧУЖИНА" С. ВАРЕНОВКА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6123023626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"ЗОЛОТОЙ КЛЮЧИК" С. ПОКРОВСКОЕ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6123023898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"ЛУКОМОРЬЕ" П.ДМИТРИАДОВКА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6123010553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МБДОУ "МАЛЬВИНА" СЛ.СОВЕТКА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Информация не предоставлена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6123014678</w:t>
            </w:r>
          </w:p>
        </w:tc>
        <w:tc>
          <w:tcPr>
            <w:tcW w:w="2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МОРСКО-ЧУЛЕКСКАЯ ООШ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Информация не предоставлена</w:t>
            </w: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Оценка среднего уровня качества финансового менеджмента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textDirection w:val="lrTb"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 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28"/>
          <w:lang w:val="ru-RU"/>
        </w:rPr>
      </w:pPr>
    </w:p>
    <w:sectPr>
      <w:pgSz w:w="12240" w:h="15840"/>
      <w:pgMar w:top="1440" w:right="0" w:bottom="1440" w:left="1417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lnNumType w:countBy="0" w:distance="36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B3784"/>
    <w:rsid w:val="02411E4E"/>
    <w:rsid w:val="23A723D9"/>
    <w:rsid w:val="33EC0C6B"/>
    <w:rsid w:val="6D4A5DB5"/>
    <w:rsid w:val="750D7E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6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">
    <w:name w:val="font1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2017-07-03T07:07:00Z</dcterms:created>
  <dc:creator>mark</dc:creator>
  <cp:lastModifiedBy>mark</cp:lastModifiedBy>
  <dcterms:modified xsi:type="dcterms:W3CDTF">2017-07-04T08:11:06Z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